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45" w:rsidRPr="008C329D" w:rsidRDefault="009B3645" w:rsidP="009B3645">
      <w:pPr>
        <w:jc w:val="center"/>
        <w:rPr>
          <w:b/>
        </w:rPr>
      </w:pPr>
      <w:r>
        <w:tab/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9B3645" w:rsidRDefault="009B3645" w:rsidP="009B3645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9B3645" w:rsidRPr="008C329D" w:rsidRDefault="009B3645" w:rsidP="009B3645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9B3645" w:rsidRPr="008C329D" w:rsidRDefault="009B3645" w:rsidP="009B3645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9B3645" w:rsidRPr="008C329D" w:rsidRDefault="009B3645" w:rsidP="009B3645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9B3645" w:rsidRPr="008C329D" w:rsidRDefault="009B3645" w:rsidP="009B3645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9B3645" w:rsidRPr="005A62F1" w:rsidRDefault="009B3645" w:rsidP="009B3645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9B3645" w:rsidRDefault="009B3645" w:rsidP="009B3645">
      <w:pPr>
        <w:spacing w:after="0"/>
        <w:jc w:val="center"/>
        <w:rPr>
          <w:b/>
        </w:rPr>
      </w:pPr>
      <w:r>
        <w:rPr>
          <w:b/>
        </w:rPr>
        <w:t xml:space="preserve">Научно-обоснованные нормы внесения минеральных удобрений </w:t>
      </w:r>
    </w:p>
    <w:p w:rsidR="009B3645" w:rsidRDefault="009B3645" w:rsidP="009B3645">
      <w:pPr>
        <w:spacing w:after="0"/>
        <w:jc w:val="center"/>
        <w:rPr>
          <w:b/>
        </w:rPr>
      </w:pPr>
      <w:r>
        <w:rPr>
          <w:b/>
        </w:rPr>
        <w:t>при возделывании льна масличного.</w:t>
      </w:r>
    </w:p>
    <w:p w:rsidR="00443F72" w:rsidRDefault="00443F72" w:rsidP="009B3645">
      <w:pPr>
        <w:spacing w:after="0"/>
      </w:pPr>
    </w:p>
    <w:p w:rsidR="009B3645" w:rsidRPr="00A17EB8" w:rsidRDefault="009B3645" w:rsidP="009B3645">
      <w:pPr>
        <w:spacing w:after="0"/>
        <w:rPr>
          <w:sz w:val="18"/>
          <w:szCs w:val="18"/>
        </w:rPr>
      </w:pPr>
    </w:p>
    <w:p w:rsidR="009B3645" w:rsidRDefault="009B3645" w:rsidP="007528B6">
      <w:pPr>
        <w:spacing w:after="0"/>
        <w:ind w:firstLine="708"/>
        <w:jc w:val="both"/>
      </w:pPr>
      <w:r>
        <w:t xml:space="preserve">Одно из важнейших условий закладки высокого урожая льна </w:t>
      </w:r>
      <w:r w:rsidR="002600F3">
        <w:t>является правильное размещение</w:t>
      </w:r>
      <w:r w:rsidR="007528B6">
        <w:t xml:space="preserve"> его в севообороте. Лучшие предшественники: яровые и озимые зерновые культуры, пласт и оборот пласта многолетних трав, бобово-злаковые смеси, горох. Нельзя сеять</w:t>
      </w:r>
      <w:r w:rsidR="00A701E9">
        <w:t xml:space="preserve"> лён масличный после подсолнечника, крестоцветных культур из-за сильного засорения посевов падалицей </w:t>
      </w:r>
      <w:r w:rsidR="00A17EB8">
        <w:t>этих культур, а также повреждения</w:t>
      </w:r>
      <w:r w:rsidR="00520A9E">
        <w:t xml:space="preserve"> общими для них болезнями и вредителями. Возврат на прежнее место допускается не реже  чем через 6-7 лет. Лён масличный рано освобождает поле и является хорошим </w:t>
      </w:r>
      <w:r w:rsidR="0063461E">
        <w:t>предшественником для озимых и яровых колосовых культур, кукурузы на зерно, гречихи, гороха и др.</w:t>
      </w:r>
    </w:p>
    <w:p w:rsidR="0063461E" w:rsidRDefault="0063461E" w:rsidP="007528B6">
      <w:pPr>
        <w:spacing w:after="0"/>
        <w:ind w:firstLine="708"/>
        <w:jc w:val="both"/>
      </w:pPr>
      <w:r>
        <w:t>Обработка почвы должна обеспечивать очищение пахотного слоя от сорняков, накопление и сохранение влаги, создание благоприятного водно-воздушного, теплового и пищевого режимов для роста и развития растений льна. На полях</w:t>
      </w:r>
      <w:r w:rsidR="00BD1526">
        <w:t xml:space="preserve"> засоренных однолетними сорняками используют полупаровую обработку почвы. При наличии многолетних сорняков применяют гербициды. Через 10-14 дней следует провести зяблевую вспашку или глубокое рыхление на 22-25 см, а затем выровнять поле.</w:t>
      </w:r>
    </w:p>
    <w:p w:rsidR="00BD1526" w:rsidRDefault="00BD1526" w:rsidP="007528B6">
      <w:pPr>
        <w:spacing w:after="0"/>
        <w:ind w:firstLine="708"/>
        <w:jc w:val="both"/>
      </w:pPr>
      <w:r>
        <w:t>Весной, при достижении почвой физической спелости</w:t>
      </w:r>
      <w:r w:rsidR="00B35666">
        <w:t xml:space="preserve"> проводят раннюю культивацию на глубину 8-10 см, а затем предпосевную на 4-5 см для создания семенного ложа.</w:t>
      </w:r>
    </w:p>
    <w:p w:rsidR="00B35666" w:rsidRDefault="00B35666" w:rsidP="007528B6">
      <w:pPr>
        <w:spacing w:after="0"/>
        <w:ind w:firstLine="708"/>
        <w:jc w:val="both"/>
      </w:pPr>
      <w:r>
        <w:t>Слаборазвитая корневая система предъявляет высокие требования к уровню плодородия почвы. Система удобрения льна</w:t>
      </w:r>
      <w:r w:rsidR="00B557EB">
        <w:t xml:space="preserve"> масличного определяется исходя из необходимости полного обеспечения культуры элементами питания, и прежде всего в азоте, фосфоре и кали</w:t>
      </w:r>
      <w:r w:rsidR="00260208">
        <w:t>и</w:t>
      </w:r>
      <w:r w:rsidR="00B557EB">
        <w:t>.</w:t>
      </w:r>
    </w:p>
    <w:p w:rsidR="00B557EB" w:rsidRDefault="00B557EB" w:rsidP="007528B6">
      <w:pPr>
        <w:spacing w:after="0"/>
        <w:ind w:firstLine="708"/>
        <w:jc w:val="both"/>
      </w:pPr>
      <w:r>
        <w:t xml:space="preserve">Нормы азота, фосфора и калия определяются степенью обеспеченности почвы элементами питания. Так как основным элементом лимитирующим урожайность сельскохозяйственных культур является фосфор, то учитывается, прежде всего, содержание подвижного фосфора в почве. </w:t>
      </w:r>
    </w:p>
    <w:p w:rsidR="00B557EB" w:rsidRDefault="00B557EB" w:rsidP="00B557EB">
      <w:pPr>
        <w:spacing w:after="0"/>
        <w:ind w:firstLine="708"/>
        <w:jc w:val="center"/>
      </w:pPr>
      <w:proofErr w:type="spellStart"/>
      <w:r>
        <w:lastRenderedPageBreak/>
        <w:t>Средневзвещенное</w:t>
      </w:r>
      <w:proofErr w:type="spellEnd"/>
      <w:r>
        <w:t xml:space="preserve"> содержание фосфора по зонам области следующее:</w:t>
      </w:r>
    </w:p>
    <w:p w:rsidR="00B557EB" w:rsidRDefault="00B557EB" w:rsidP="008E02B8">
      <w:pPr>
        <w:spacing w:after="0"/>
        <w:ind w:firstLine="708"/>
        <w:jc w:val="center"/>
      </w:pPr>
      <w:proofErr w:type="gramStart"/>
      <w:r>
        <w:t>Северо-западная</w:t>
      </w:r>
      <w:proofErr w:type="gramEnd"/>
      <w:r>
        <w:t xml:space="preserve"> – 19,3 мг/кг</w:t>
      </w:r>
    </w:p>
    <w:p w:rsidR="00B557EB" w:rsidRDefault="00B557EB" w:rsidP="008E02B8">
      <w:pPr>
        <w:spacing w:after="0"/>
        <w:ind w:firstLine="708"/>
        <w:jc w:val="center"/>
      </w:pPr>
      <w:proofErr w:type="gramStart"/>
      <w:r>
        <w:t>Северо-восточная</w:t>
      </w:r>
      <w:proofErr w:type="gramEnd"/>
      <w:r>
        <w:t xml:space="preserve"> – 20,2 мг/кг</w:t>
      </w:r>
    </w:p>
    <w:p w:rsidR="000328A9" w:rsidRDefault="000328A9" w:rsidP="008E02B8">
      <w:pPr>
        <w:spacing w:after="0"/>
        <w:ind w:firstLine="708"/>
        <w:jc w:val="center"/>
      </w:pPr>
      <w:proofErr w:type="gramStart"/>
      <w:r>
        <w:t>Центральная</w:t>
      </w:r>
      <w:proofErr w:type="gramEnd"/>
      <w:r>
        <w:t xml:space="preserve"> орошаемая – 30,8 мг/кг</w:t>
      </w:r>
    </w:p>
    <w:p w:rsidR="000328A9" w:rsidRDefault="000328A9" w:rsidP="008E02B8">
      <w:pPr>
        <w:spacing w:after="0"/>
        <w:ind w:firstLine="708"/>
        <w:jc w:val="center"/>
      </w:pPr>
      <w:proofErr w:type="gramStart"/>
      <w:r>
        <w:t>Приазовская</w:t>
      </w:r>
      <w:proofErr w:type="gramEnd"/>
      <w:r>
        <w:t xml:space="preserve"> – 25,6 мг/кг</w:t>
      </w:r>
    </w:p>
    <w:p w:rsidR="000328A9" w:rsidRDefault="000328A9" w:rsidP="008E02B8">
      <w:pPr>
        <w:spacing w:after="0"/>
        <w:ind w:firstLine="708"/>
        <w:jc w:val="center"/>
      </w:pPr>
      <w:proofErr w:type="gramStart"/>
      <w:r>
        <w:t>Южная</w:t>
      </w:r>
      <w:proofErr w:type="gramEnd"/>
      <w:r>
        <w:t xml:space="preserve"> – 24,9 мг/кг</w:t>
      </w:r>
    </w:p>
    <w:p w:rsidR="000328A9" w:rsidRDefault="000328A9" w:rsidP="008E02B8">
      <w:pPr>
        <w:spacing w:after="0"/>
        <w:ind w:firstLine="708"/>
        <w:jc w:val="center"/>
      </w:pPr>
      <w:proofErr w:type="gramStart"/>
      <w:r>
        <w:t>Восточная</w:t>
      </w:r>
      <w:proofErr w:type="gramEnd"/>
      <w:r>
        <w:t xml:space="preserve"> – 20,0 мг/кг</w:t>
      </w:r>
    </w:p>
    <w:p w:rsidR="008E02B8" w:rsidRDefault="008E02B8" w:rsidP="008E02B8">
      <w:pPr>
        <w:spacing w:after="0"/>
        <w:ind w:firstLine="708"/>
        <w:jc w:val="center"/>
      </w:pPr>
    </w:p>
    <w:p w:rsidR="000328A9" w:rsidRDefault="008E02B8" w:rsidP="007528B6">
      <w:pPr>
        <w:spacing w:after="0"/>
        <w:ind w:firstLine="708"/>
        <w:jc w:val="both"/>
      </w:pPr>
      <w:r>
        <w:t>С</w:t>
      </w:r>
      <w:r w:rsidR="000328A9">
        <w:t>редневзве</w:t>
      </w:r>
      <w:r>
        <w:t xml:space="preserve">шенная величина по области 23,7 мг/кг почвы. Согласно группировке почв по содержанию подвижных элементов питания это средняя обеспеченность почвы подвижным фосфором. Оптимальной является норма – </w:t>
      </w:r>
      <w:r>
        <w:rPr>
          <w:lang w:val="en-US"/>
        </w:rPr>
        <w:t>N</w:t>
      </w:r>
      <w:r w:rsidRPr="002C34E0">
        <w:rPr>
          <w:vertAlign w:val="subscript"/>
        </w:rPr>
        <w:t xml:space="preserve">30 </w:t>
      </w:r>
      <w:r>
        <w:rPr>
          <w:lang w:val="en-US"/>
        </w:rPr>
        <w:t>P</w:t>
      </w:r>
      <w:r w:rsidRPr="002C34E0">
        <w:rPr>
          <w:vertAlign w:val="subscript"/>
        </w:rPr>
        <w:t>30.</w:t>
      </w:r>
    </w:p>
    <w:p w:rsidR="008E02B8" w:rsidRDefault="008E02B8" w:rsidP="007528B6">
      <w:pPr>
        <w:spacing w:after="0"/>
        <w:ind w:firstLine="708"/>
        <w:jc w:val="both"/>
      </w:pPr>
      <w:r>
        <w:t xml:space="preserve">При </w:t>
      </w:r>
      <w:r w:rsidR="002C34E0">
        <w:t xml:space="preserve">возделывании льна масличного значение имеет способ и сроки применения удобрений. Оптимальный срок – внесение осенью под основную зяблевую обработку почвы. Удобрение равномерно распределяется в пахотном слое и хорошо используется корневой системой растений. Внесение удобрений весной под культивацию зяби на 8-10 см исключается, так как большая часть удобрений сосредотачивается в верхнем слое почвы, и </w:t>
      </w:r>
      <w:proofErr w:type="gramStart"/>
      <w:r w:rsidR="002C34E0">
        <w:t>при</w:t>
      </w:r>
      <w:proofErr w:type="gramEnd"/>
      <w:r w:rsidR="002C34E0">
        <w:t xml:space="preserve"> его </w:t>
      </w:r>
      <w:proofErr w:type="spellStart"/>
      <w:r w:rsidR="002C34E0">
        <w:t>подсыхании</w:t>
      </w:r>
      <w:proofErr w:type="spellEnd"/>
      <w:r w:rsidR="002C34E0">
        <w:t xml:space="preserve"> питательные элементы могут быть малодоступны растениям. Неэффективно также внесение фосфора под предпосевную культивацию, которая проводится на глубину 3-5 см.</w:t>
      </w:r>
    </w:p>
    <w:p w:rsidR="002C34E0" w:rsidRDefault="002C34E0" w:rsidP="007528B6">
      <w:pPr>
        <w:spacing w:after="0"/>
        <w:ind w:firstLine="708"/>
        <w:jc w:val="both"/>
        <w:rPr>
          <w:vertAlign w:val="subscript"/>
        </w:rPr>
      </w:pPr>
      <w:r>
        <w:t xml:space="preserve">Высокий эффект даёт </w:t>
      </w:r>
      <w:proofErr w:type="spellStart"/>
      <w:r>
        <w:t>припосевное</w:t>
      </w:r>
      <w:proofErr w:type="spellEnd"/>
      <w:r>
        <w:t xml:space="preserve"> внесение фосфорных удобрений в дозе Р</w:t>
      </w:r>
      <w:r>
        <w:rPr>
          <w:vertAlign w:val="subscript"/>
        </w:rPr>
        <w:t>20.</w:t>
      </w:r>
    </w:p>
    <w:p w:rsidR="002C34E0" w:rsidRPr="002C34E0" w:rsidRDefault="002C34E0" w:rsidP="007528B6">
      <w:pPr>
        <w:spacing w:after="0"/>
        <w:ind w:firstLine="708"/>
        <w:jc w:val="both"/>
      </w:pPr>
      <w:r>
        <w:t xml:space="preserve">Эффективна подкормка растений в фазе «ёлочки» (5-15 см) мочевиной в дозе </w:t>
      </w:r>
      <w:r>
        <w:rPr>
          <w:lang w:val="en-US"/>
        </w:rPr>
        <w:t>N</w:t>
      </w:r>
      <w:r w:rsidRPr="002C34E0">
        <w:rPr>
          <w:vertAlign w:val="subscript"/>
        </w:rPr>
        <w:t>30</w:t>
      </w:r>
      <w:r>
        <w:rPr>
          <w:vertAlign w:val="subscript"/>
        </w:rPr>
        <w:t>.</w:t>
      </w:r>
    </w:p>
    <w:sectPr w:rsidR="002C34E0" w:rsidRPr="002C34E0" w:rsidSect="0044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3645"/>
    <w:rsid w:val="000328A9"/>
    <w:rsid w:val="00194DE4"/>
    <w:rsid w:val="002226F5"/>
    <w:rsid w:val="002600F3"/>
    <w:rsid w:val="00260208"/>
    <w:rsid w:val="002C34E0"/>
    <w:rsid w:val="00334371"/>
    <w:rsid w:val="00443F72"/>
    <w:rsid w:val="00476138"/>
    <w:rsid w:val="00520A9E"/>
    <w:rsid w:val="0063461E"/>
    <w:rsid w:val="007528B6"/>
    <w:rsid w:val="007812E3"/>
    <w:rsid w:val="008E02B8"/>
    <w:rsid w:val="009B3645"/>
    <w:rsid w:val="00A17EB8"/>
    <w:rsid w:val="00A17EE2"/>
    <w:rsid w:val="00A701E9"/>
    <w:rsid w:val="00AB1D16"/>
    <w:rsid w:val="00B35666"/>
    <w:rsid w:val="00B557EB"/>
    <w:rsid w:val="00BD1526"/>
    <w:rsid w:val="00C8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4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364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9B36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11</cp:revision>
  <dcterms:created xsi:type="dcterms:W3CDTF">2020-01-31T10:38:00Z</dcterms:created>
  <dcterms:modified xsi:type="dcterms:W3CDTF">2020-03-12T12:35:00Z</dcterms:modified>
</cp:coreProperties>
</file>